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F911F3" w:rsidRDefault="00F92268" w:rsidP="00850792">
      <w:pPr>
        <w:pStyle w:val="BodyText"/>
        <w:rPr>
          <w:sz w:val="6"/>
          <w:szCs w:val="6"/>
        </w:rPr>
      </w:pPr>
      <w:r w:rsidRPr="00F911F3">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F911F3"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F911F3" w:rsidRDefault="00F92268" w:rsidP="00F246C7">
            <w:pPr>
              <w:pStyle w:val="RefTableData"/>
            </w:pPr>
            <w:r w:rsidRPr="00F911F3">
              <w:t>Reference number(s)</w:t>
            </w:r>
          </w:p>
        </w:tc>
      </w:tr>
      <w:tr w:rsidR="00F92268" w:rsidRPr="00F911F3"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3A4E83CA" w:rsidR="00F92268" w:rsidRPr="00F911F3" w:rsidRDefault="00F449FB" w:rsidP="00F246C7">
            <w:pPr>
              <w:pStyle w:val="RefTableHeader"/>
            </w:pPr>
            <w:r w:rsidRPr="00F911F3">
              <w:t>1846-A</w:t>
            </w:r>
          </w:p>
        </w:tc>
      </w:tr>
    </w:tbl>
    <w:p w14:paraId="74FBA5B4" w14:textId="77777777" w:rsidR="00051356" w:rsidRPr="00F911F3" w:rsidRDefault="00051356" w:rsidP="00A672B3">
      <w:pPr>
        <w:pStyle w:val="BodyText"/>
        <w:rPr>
          <w:b/>
          <w:bCs/>
          <w:sz w:val="16"/>
          <w:szCs w:val="16"/>
        </w:rPr>
        <w:sectPr w:rsidR="00051356" w:rsidRPr="00F911F3"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1BF6CC55" w:rsidR="004B15BB" w:rsidRPr="00F911F3" w:rsidRDefault="00F449FB" w:rsidP="002276DF">
      <w:pPr>
        <w:pStyle w:val="Heading1"/>
      </w:pPr>
      <w:r w:rsidRPr="00F911F3">
        <w:t>Specialty Guideline Management</w:t>
      </w:r>
      <w:r w:rsidR="008C54D9" w:rsidRPr="00F911F3">
        <w:br/>
      </w:r>
      <w:r w:rsidR="002276DF" w:rsidRPr="002276DF">
        <w:t>Tysabri-Tyruko</w:t>
      </w:r>
    </w:p>
    <w:p w14:paraId="78861C92" w14:textId="6F6DC374" w:rsidR="00203468" w:rsidRPr="00F911F3" w:rsidRDefault="00C64534" w:rsidP="008E0F0D">
      <w:pPr>
        <w:pStyle w:val="Heading2"/>
      </w:pPr>
      <w:r w:rsidRPr="00F911F3">
        <w:t xml:space="preserve">Products Referenced by this </w:t>
      </w:r>
      <w:r w:rsidR="00501602" w:rsidRPr="00F911F3">
        <w:t>Document</w:t>
      </w:r>
    </w:p>
    <w:p w14:paraId="07868740" w14:textId="5DE310CF" w:rsidR="00725714" w:rsidRPr="00F911F3" w:rsidRDefault="00D82D85" w:rsidP="00F449FB">
      <w:pPr>
        <w:pStyle w:val="BodyText"/>
      </w:pPr>
      <w:r w:rsidRPr="00F911F3">
        <w:t xml:space="preserve">Drugs that are listed in the </w:t>
      </w:r>
      <w:r w:rsidR="000315F1" w:rsidRPr="00F911F3">
        <w:t>following table</w:t>
      </w:r>
      <w:r w:rsidRPr="00F911F3">
        <w:t xml:space="preserve"> include both brand and generic and all dosage forms and strengths unless otherwise stated. </w:t>
      </w:r>
      <w:proofErr w:type="gramStart"/>
      <w:r w:rsidR="00E83135">
        <w:rPr>
          <w:rStyle w:val="ui-provider"/>
        </w:rPr>
        <w:t>Over</w:t>
      </w:r>
      <w:r w:rsidR="00A7147C">
        <w:rPr>
          <w:rStyle w:val="ui-provider"/>
        </w:rPr>
        <w:t>-</w:t>
      </w:r>
      <w:r w:rsidR="00E83135">
        <w:rPr>
          <w:rStyle w:val="ui-provider"/>
        </w:rPr>
        <w:t>the</w:t>
      </w:r>
      <w:r w:rsidR="00A7147C">
        <w:rPr>
          <w:rStyle w:val="ui-provider"/>
        </w:rPr>
        <w:t>-</w:t>
      </w:r>
      <w:r w:rsidR="00E83135">
        <w:rPr>
          <w:rStyle w:val="ui-provider"/>
        </w:rPr>
        <w:t>counter</w:t>
      </w:r>
      <w:proofErr w:type="gramEnd"/>
      <w:r w:rsidR="00E83135">
        <w:rPr>
          <w:rStyle w:val="ui-provider"/>
        </w:rPr>
        <w:t xml:space="preserve"> (OTC)</w:t>
      </w:r>
      <w:r w:rsidRPr="00F911F3">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5B4D7C" w:rsidRPr="00F911F3" w14:paraId="057AAA89" w14:textId="77777777">
        <w:trPr>
          <w:cantSplit/>
          <w:trHeight w:val="288"/>
          <w:tblHeader/>
        </w:trPr>
        <w:tc>
          <w:tcPr>
            <w:tcW w:w="5265" w:type="dxa"/>
            <w:vAlign w:val="center"/>
          </w:tcPr>
          <w:p w14:paraId="6CBFE1BD" w14:textId="77777777" w:rsidR="005B4D7C" w:rsidRPr="00F911F3" w:rsidRDefault="005B4D7C">
            <w:pPr>
              <w:pStyle w:val="TableHeader"/>
            </w:pPr>
            <w:r w:rsidRPr="00F911F3">
              <w:t>Brand Name</w:t>
            </w:r>
          </w:p>
        </w:tc>
        <w:tc>
          <w:tcPr>
            <w:tcW w:w="5595" w:type="dxa"/>
            <w:vAlign w:val="center"/>
          </w:tcPr>
          <w:p w14:paraId="18440B85" w14:textId="77777777" w:rsidR="005B4D7C" w:rsidRPr="00F911F3" w:rsidRDefault="005B4D7C">
            <w:pPr>
              <w:pStyle w:val="TableHeader"/>
            </w:pPr>
            <w:r w:rsidRPr="00F911F3">
              <w:t>Generic Name</w:t>
            </w:r>
          </w:p>
        </w:tc>
      </w:tr>
      <w:tr w:rsidR="005B4D7C" w:rsidRPr="00F911F3" w14:paraId="7742B1EC" w14:textId="77777777">
        <w:trPr>
          <w:cantSplit/>
        </w:trPr>
        <w:tc>
          <w:tcPr>
            <w:tcW w:w="5265" w:type="dxa"/>
          </w:tcPr>
          <w:p w14:paraId="4DED0C9B" w14:textId="5F979A7E" w:rsidR="005B4D7C" w:rsidRPr="00F911F3" w:rsidRDefault="00F449FB" w:rsidP="00F449FB">
            <w:pPr>
              <w:pStyle w:val="TableDataUnpadded"/>
            </w:pPr>
            <w:r w:rsidRPr="00F911F3">
              <w:t>Tysabri</w:t>
            </w:r>
          </w:p>
        </w:tc>
        <w:tc>
          <w:tcPr>
            <w:tcW w:w="5595" w:type="dxa"/>
          </w:tcPr>
          <w:p w14:paraId="1A09710D" w14:textId="5D6265F9" w:rsidR="005B4D7C" w:rsidRPr="00F911F3" w:rsidRDefault="00F449FB">
            <w:pPr>
              <w:pStyle w:val="TableDataUnpadded"/>
            </w:pPr>
            <w:r w:rsidRPr="00F911F3">
              <w:t>natalizumab</w:t>
            </w:r>
          </w:p>
        </w:tc>
      </w:tr>
      <w:tr w:rsidR="005B4D7C" w:rsidRPr="00F911F3" w14:paraId="25752006" w14:textId="77777777">
        <w:trPr>
          <w:cantSplit/>
        </w:trPr>
        <w:tc>
          <w:tcPr>
            <w:tcW w:w="5265" w:type="dxa"/>
          </w:tcPr>
          <w:p w14:paraId="54B09F66" w14:textId="2BFCAF6D" w:rsidR="005B4D7C" w:rsidRPr="00F911F3" w:rsidRDefault="00F449FB">
            <w:pPr>
              <w:pStyle w:val="TableDataUnpadded"/>
            </w:pPr>
            <w:r w:rsidRPr="00F911F3">
              <w:t>Tyruko</w:t>
            </w:r>
          </w:p>
        </w:tc>
        <w:tc>
          <w:tcPr>
            <w:tcW w:w="5595" w:type="dxa"/>
          </w:tcPr>
          <w:p w14:paraId="16DFDEDA" w14:textId="5AEF5E2C" w:rsidR="005B4D7C" w:rsidRPr="00F911F3" w:rsidRDefault="00F449FB">
            <w:pPr>
              <w:pStyle w:val="TableDataUnpadded"/>
            </w:pPr>
            <w:r w:rsidRPr="00F911F3">
              <w:t>natalizumab-</w:t>
            </w:r>
            <w:proofErr w:type="spellStart"/>
            <w:r w:rsidRPr="00F911F3">
              <w:t>sztn</w:t>
            </w:r>
            <w:proofErr w:type="spellEnd"/>
          </w:p>
        </w:tc>
      </w:tr>
    </w:tbl>
    <w:p w14:paraId="14CE6108" w14:textId="3EDFE511" w:rsidR="00FC1AAD" w:rsidRPr="00F911F3" w:rsidRDefault="00ED052F" w:rsidP="00AA2A94">
      <w:pPr>
        <w:pStyle w:val="Heading2"/>
        <w:tabs>
          <w:tab w:val="left" w:pos="9540"/>
        </w:tabs>
      </w:pPr>
      <w:r w:rsidRPr="00F911F3">
        <w:t>Indications</w:t>
      </w:r>
    </w:p>
    <w:p w14:paraId="3B9CFD89" w14:textId="0BEFACD2" w:rsidR="00F449FB" w:rsidRPr="00F911F3" w:rsidRDefault="00F449FB" w:rsidP="00F449FB">
      <w:pPr>
        <w:pStyle w:val="BodyText"/>
      </w:pPr>
      <w:r w:rsidRPr="00F911F3">
        <w:t>The indications below including FDA-approved indications and compendial uses are considered a covered benefit provided that all the approval criteria are met and the member has no exclusions to the prescribed therapy.</w:t>
      </w:r>
    </w:p>
    <w:p w14:paraId="134B5687" w14:textId="14A9C8BA" w:rsidR="00ED052F" w:rsidRPr="006E06B6" w:rsidRDefault="00ED052F" w:rsidP="00ED052F">
      <w:pPr>
        <w:pStyle w:val="Heading3"/>
        <w:keepNext w:val="0"/>
      </w:pPr>
      <w:r w:rsidRPr="00F911F3">
        <w:t>FDA-approved Indications</w:t>
      </w:r>
      <w:r w:rsidR="00F449FB" w:rsidRPr="00F911F3">
        <w:rPr>
          <w:vertAlign w:val="superscript"/>
        </w:rPr>
        <w:t>1,2</w:t>
      </w:r>
    </w:p>
    <w:p w14:paraId="7E975F59" w14:textId="77777777" w:rsidR="00F449FB" w:rsidRPr="00F911F3" w:rsidRDefault="00F449FB" w:rsidP="00F449FB">
      <w:pPr>
        <w:pStyle w:val="ListParagraph"/>
      </w:pPr>
      <w:r w:rsidRPr="00F911F3">
        <w:t>Indicated for inducing and maintaining clinical response and remission in adult patients with moderately to severely active Crohn’s disease (CD) with evidence of inflammation who have had an inadequate response to, or are unable to tolerate, conventional CD therapies and inhibitors of tumor necrosis factor alpha (TNF-</w:t>
      </w:r>
      <w:r w:rsidRPr="00F911F3">
        <w:rPr>
          <w:rFonts w:ascii="Calibri" w:hAnsi="Calibri" w:cs="Calibri"/>
        </w:rPr>
        <w:t>α</w:t>
      </w:r>
      <w:r w:rsidRPr="00F911F3">
        <w:t>). Tysabri and Tyruko should not be used in combination with immunosuppressants (e.g., 6-mercaptopurine, azathioprine, cyclosporine, or methotrexate) or inhibitors of TNF-</w:t>
      </w:r>
      <w:r w:rsidRPr="00F911F3">
        <w:rPr>
          <w:rFonts w:ascii="Calibri" w:hAnsi="Calibri" w:cs="Calibri"/>
        </w:rPr>
        <w:t>α</w:t>
      </w:r>
      <w:r w:rsidRPr="00F911F3">
        <w:t>.</w:t>
      </w:r>
    </w:p>
    <w:p w14:paraId="1031CF59" w14:textId="77777777" w:rsidR="00F449FB" w:rsidRPr="00F911F3" w:rsidRDefault="00F449FB" w:rsidP="00F449FB">
      <w:pPr>
        <w:pStyle w:val="ListParagraph"/>
      </w:pPr>
      <w:r w:rsidRPr="00F911F3">
        <w:t>Indicated as monotherapy for the treatment of relapsing forms of multiple sclerosis, to include clinically isolated syndrome, relapsing-remitting disease, and active secondary progressive disease, in adults. Tysabri and Tyruko increase the risk of progressive multifocal leukoencephalopathy (PML). When initiating and continuing treatment with Tysabri or Tyruko, physicians should consider whether the expected benefit of Tysabri or Tyruko is sufficient to offset this risk.</w:t>
      </w:r>
    </w:p>
    <w:p w14:paraId="4C434745" w14:textId="521468A0" w:rsidR="00ED052F" w:rsidRPr="00F911F3" w:rsidRDefault="00F449FB" w:rsidP="00F449FB">
      <w:pPr>
        <w:pStyle w:val="BodyText"/>
      </w:pPr>
      <w:r w:rsidRPr="00F911F3">
        <w:lastRenderedPageBreak/>
        <w:t>All other indications are considered experimental/investigational and not medically necessary</w:t>
      </w:r>
      <w:r w:rsidR="00ED052F" w:rsidRPr="00F911F3">
        <w:t>.</w:t>
      </w:r>
    </w:p>
    <w:p w14:paraId="36381B6D" w14:textId="50A22834" w:rsidR="000D2496" w:rsidRPr="00F911F3" w:rsidRDefault="000D2496" w:rsidP="000D2496">
      <w:pPr>
        <w:pStyle w:val="Heading2"/>
      </w:pPr>
      <w:r w:rsidRPr="00F911F3">
        <w:t>Documentation</w:t>
      </w:r>
    </w:p>
    <w:p w14:paraId="5A7A234A" w14:textId="77777777" w:rsidR="00F449FB" w:rsidRPr="00F911F3" w:rsidRDefault="00F449FB" w:rsidP="00F449FB">
      <w:pPr>
        <w:pStyle w:val="BodyText"/>
      </w:pPr>
      <w:r w:rsidRPr="00F911F3">
        <w:t>Submission of the following information is necessary to initiate the prior authorization review:</w:t>
      </w:r>
    </w:p>
    <w:p w14:paraId="57CEE0FC" w14:textId="77165C8A" w:rsidR="00F449FB" w:rsidRPr="00F911F3" w:rsidRDefault="00F449FB" w:rsidP="00F449FB">
      <w:pPr>
        <w:pStyle w:val="Heading3"/>
      </w:pPr>
      <w:r w:rsidRPr="00F911F3">
        <w:t xml:space="preserve">Crohn’s </w:t>
      </w:r>
      <w:r w:rsidR="002276DF" w:rsidRPr="00F911F3">
        <w:t xml:space="preserve">Disease </w:t>
      </w:r>
      <w:r w:rsidRPr="00F911F3">
        <w:t>(CD)</w:t>
      </w:r>
    </w:p>
    <w:p w14:paraId="4DC0A85C" w14:textId="496D9043" w:rsidR="00F449FB" w:rsidRPr="00F911F3" w:rsidRDefault="00F449FB" w:rsidP="00F449FB">
      <w:pPr>
        <w:pStyle w:val="Heading4"/>
      </w:pPr>
      <w:r w:rsidRPr="00F911F3">
        <w:t xml:space="preserve">Initial </w:t>
      </w:r>
      <w:r w:rsidR="002276DF" w:rsidRPr="00F911F3">
        <w:t>Requests</w:t>
      </w:r>
    </w:p>
    <w:p w14:paraId="3699FF69" w14:textId="329D0B20" w:rsidR="00F449FB" w:rsidRPr="00F911F3" w:rsidRDefault="00F449FB" w:rsidP="00F449FB">
      <w:pPr>
        <w:pStyle w:val="BodyText"/>
      </w:pPr>
      <w:r w:rsidRPr="00F911F3">
        <w:t>Chart notes, medical record documentation, or claims history supporting previous medications tried, including response to therapy.</w:t>
      </w:r>
    </w:p>
    <w:p w14:paraId="0E7A9429" w14:textId="4CA8288A" w:rsidR="00F449FB" w:rsidRPr="00F911F3" w:rsidRDefault="00F449FB" w:rsidP="00F449FB">
      <w:pPr>
        <w:pStyle w:val="Heading4"/>
      </w:pPr>
      <w:r w:rsidRPr="00F911F3">
        <w:t xml:space="preserve">Continuation </w:t>
      </w:r>
      <w:r w:rsidR="002276DF" w:rsidRPr="00F911F3">
        <w:t>Requests</w:t>
      </w:r>
    </w:p>
    <w:p w14:paraId="61584DEA" w14:textId="3FE6A5FC" w:rsidR="00F449FB" w:rsidRPr="00F911F3" w:rsidRDefault="00F449FB" w:rsidP="00F449FB">
      <w:pPr>
        <w:pStyle w:val="BodyText"/>
      </w:pPr>
      <w:r w:rsidRPr="00F911F3">
        <w:t>Chart notes or medical record documentation supporting positive clinical response to therapy or remission.</w:t>
      </w:r>
    </w:p>
    <w:p w14:paraId="4A5B15F8" w14:textId="7777FFCF" w:rsidR="00006174" w:rsidRPr="00F911F3" w:rsidRDefault="00006174" w:rsidP="00006174">
      <w:pPr>
        <w:pStyle w:val="Heading2"/>
      </w:pPr>
      <w:r w:rsidRPr="00F911F3">
        <w:t>Prescriber Specialties</w:t>
      </w:r>
    </w:p>
    <w:p w14:paraId="00E5C5D4" w14:textId="337DAFFF" w:rsidR="00F449FB" w:rsidRPr="00F911F3" w:rsidRDefault="009B1CE9" w:rsidP="00F449FB">
      <w:pPr>
        <w:pStyle w:val="BodyText"/>
      </w:pPr>
      <w:r>
        <w:t>This</w:t>
      </w:r>
      <w:r w:rsidR="00F449FB" w:rsidRPr="00F911F3">
        <w:t xml:space="preserve"> medication must be prescribed by or in consultation with one of the following:</w:t>
      </w:r>
    </w:p>
    <w:p w14:paraId="666B92E2" w14:textId="77777777" w:rsidR="00F449FB" w:rsidRPr="00F911F3" w:rsidRDefault="00F449FB" w:rsidP="002276DF">
      <w:pPr>
        <w:pStyle w:val="ListParagraph"/>
        <w:numPr>
          <w:ilvl w:val="0"/>
          <w:numId w:val="28"/>
        </w:numPr>
      </w:pPr>
      <w:r w:rsidRPr="00F911F3">
        <w:t>Crohn’s disease: gastroenterologist</w:t>
      </w:r>
    </w:p>
    <w:p w14:paraId="273895D7" w14:textId="47EEDB9A" w:rsidR="00F449FB" w:rsidRPr="00F911F3" w:rsidRDefault="00F449FB" w:rsidP="002276DF">
      <w:pPr>
        <w:pStyle w:val="ListParagraph"/>
        <w:numPr>
          <w:ilvl w:val="0"/>
          <w:numId w:val="28"/>
        </w:numPr>
      </w:pPr>
      <w:r w:rsidRPr="00F911F3">
        <w:t>Multiple sclerosis: neurologist</w:t>
      </w:r>
    </w:p>
    <w:p w14:paraId="50A38FBA" w14:textId="1344FF46" w:rsidR="00FE0C63" w:rsidRPr="00F911F3" w:rsidRDefault="00685107" w:rsidP="00E050E1">
      <w:pPr>
        <w:pStyle w:val="Heading2"/>
      </w:pPr>
      <w:r w:rsidRPr="00F911F3">
        <w:t>Coverage Criteria</w:t>
      </w:r>
    </w:p>
    <w:p w14:paraId="7D7181E3" w14:textId="69938314" w:rsidR="00F449FB" w:rsidRPr="00F911F3" w:rsidRDefault="00F449FB" w:rsidP="00F449FB">
      <w:pPr>
        <w:pStyle w:val="Heading3"/>
      </w:pPr>
      <w:r w:rsidRPr="00F911F3">
        <w:t xml:space="preserve">Crohn’s </w:t>
      </w:r>
      <w:r w:rsidR="002276DF" w:rsidRPr="00F911F3">
        <w:t xml:space="preserve">Disease </w:t>
      </w:r>
      <w:r w:rsidRPr="00F911F3">
        <w:t>(CD)</w:t>
      </w:r>
      <w:r w:rsidRPr="00F911F3">
        <w:rPr>
          <w:vertAlign w:val="superscript"/>
        </w:rPr>
        <w:t>1-5</w:t>
      </w:r>
    </w:p>
    <w:p w14:paraId="0690D7EE" w14:textId="26A5FA56" w:rsidR="00F449FB" w:rsidRPr="00F911F3" w:rsidRDefault="00F449FB" w:rsidP="00F449FB">
      <w:pPr>
        <w:pStyle w:val="BodyText"/>
      </w:pPr>
      <w:r w:rsidRPr="00F911F3">
        <w:t xml:space="preserve">Authorization of 12 months may be granted </w:t>
      </w:r>
      <w:r w:rsidR="001759F7">
        <w:t>for</w:t>
      </w:r>
      <w:r w:rsidRPr="00F911F3">
        <w:t xml:space="preserve"> adult members who have received any other biologic indicated for the treatment of moderately to severely active Crohn’s disease and who have been tested for anti-JCV antibodies.</w:t>
      </w:r>
    </w:p>
    <w:p w14:paraId="2A071539" w14:textId="460B6EA5" w:rsidR="00F449FB" w:rsidRPr="00F911F3" w:rsidRDefault="00F449FB" w:rsidP="00F449FB">
      <w:pPr>
        <w:pStyle w:val="Heading3"/>
      </w:pPr>
      <w:r w:rsidRPr="00F911F3">
        <w:t xml:space="preserve">Relapsing </w:t>
      </w:r>
      <w:r w:rsidR="002276DF" w:rsidRPr="00F911F3">
        <w:t xml:space="preserve">Forms </w:t>
      </w:r>
      <w:r w:rsidR="002276DF">
        <w:t>o</w:t>
      </w:r>
      <w:r w:rsidR="002276DF" w:rsidRPr="00F911F3">
        <w:t xml:space="preserve">f Multiple Sclerosis </w:t>
      </w:r>
      <w:r w:rsidRPr="00F911F3">
        <w:t>(MS)</w:t>
      </w:r>
      <w:r w:rsidRPr="00F911F3">
        <w:rPr>
          <w:vertAlign w:val="superscript"/>
        </w:rPr>
        <w:t>1,2</w:t>
      </w:r>
    </w:p>
    <w:p w14:paraId="6CC5EB78" w14:textId="77777777" w:rsidR="00F449FB" w:rsidRPr="00F911F3" w:rsidRDefault="00F449FB" w:rsidP="00F449FB">
      <w:pPr>
        <w:pStyle w:val="BodyText"/>
      </w:pPr>
      <w:r w:rsidRPr="00F911F3">
        <w:t>Authorization of 12 months may be granted to members who have been diagnosed with a relapsing form of multiple sclerosis (including relapsing-remitting and secondary progressive disease for those who continue to experience relapse) and those who have been tested for anti-JCV antibodies.</w:t>
      </w:r>
    </w:p>
    <w:p w14:paraId="672351FE" w14:textId="6999EE2A" w:rsidR="00F449FB" w:rsidRPr="00F911F3" w:rsidRDefault="00F449FB" w:rsidP="00F449FB">
      <w:pPr>
        <w:pStyle w:val="Heading3"/>
      </w:pPr>
      <w:r w:rsidRPr="00F911F3">
        <w:lastRenderedPageBreak/>
        <w:t xml:space="preserve">Clinically </w:t>
      </w:r>
      <w:r w:rsidR="002276DF" w:rsidRPr="00F911F3">
        <w:t xml:space="preserve">Isolated Syndrome </w:t>
      </w:r>
      <w:r w:rsidRPr="00F911F3">
        <w:t>(CIS)</w:t>
      </w:r>
      <w:r w:rsidRPr="00F911F3">
        <w:rPr>
          <w:vertAlign w:val="superscript"/>
        </w:rPr>
        <w:t>1,2</w:t>
      </w:r>
    </w:p>
    <w:p w14:paraId="3A194FB1" w14:textId="510D7096" w:rsidR="00F449FB" w:rsidRPr="00F911F3" w:rsidRDefault="00F449FB" w:rsidP="00F449FB">
      <w:pPr>
        <w:pStyle w:val="BodyText"/>
      </w:pPr>
      <w:r w:rsidRPr="00F911F3">
        <w:t>Authorization of 12 months may be granted to members for the treatment of clinically isolated syndrome of multiple sclerosis and those who have been tested for anti-JCV antibodies.</w:t>
      </w:r>
    </w:p>
    <w:p w14:paraId="3A643EC3" w14:textId="57A93EB0" w:rsidR="00A501AC" w:rsidRPr="00F911F3" w:rsidRDefault="00A501AC" w:rsidP="00A501AC">
      <w:pPr>
        <w:pStyle w:val="Heading2"/>
      </w:pPr>
      <w:r w:rsidRPr="00F911F3">
        <w:t>Continuation of Therapy</w:t>
      </w:r>
    </w:p>
    <w:p w14:paraId="25CB88D8" w14:textId="06EAE07C" w:rsidR="00F449FB" w:rsidRPr="00F911F3" w:rsidRDefault="00F449FB" w:rsidP="00F449FB">
      <w:pPr>
        <w:pStyle w:val="Heading3"/>
      </w:pPr>
      <w:r w:rsidRPr="00F911F3">
        <w:t xml:space="preserve">Crohn’s </w:t>
      </w:r>
      <w:r w:rsidR="002276DF" w:rsidRPr="00F911F3">
        <w:t xml:space="preserve">Disease </w:t>
      </w:r>
      <w:r w:rsidRPr="00F911F3">
        <w:t>(CD)</w:t>
      </w:r>
      <w:r w:rsidRPr="00F911F3">
        <w:rPr>
          <w:vertAlign w:val="superscript"/>
        </w:rPr>
        <w:t>1-3,5</w:t>
      </w:r>
    </w:p>
    <w:p w14:paraId="0C4D9C0A" w14:textId="77777777" w:rsidR="00F449FB" w:rsidRPr="00F911F3" w:rsidRDefault="00F449FB" w:rsidP="00F449FB">
      <w:pPr>
        <w:pStyle w:val="BodyText"/>
      </w:pPr>
      <w:r w:rsidRPr="00F911F3">
        <w:t>Authorization of 12 months may be granted for all adult members (including new members) who are using the requested medication for moderately to severely active Crohn’s disease and who achieve or maintain remission.</w:t>
      </w:r>
    </w:p>
    <w:p w14:paraId="66652A22" w14:textId="12D6DB6E" w:rsidR="00F449FB" w:rsidRPr="00F911F3" w:rsidRDefault="00F449FB" w:rsidP="00F449FB">
      <w:pPr>
        <w:pStyle w:val="BodyText"/>
      </w:pPr>
      <w:r w:rsidRPr="00F911F3">
        <w:t>Authorization of 12 months may be granted for all adult members (including new members) who are using the requested medication for moderately to severely active Crohn’s disease and who achieve or maintain a positive clinical response as evidenced by low disease activity or improvement in signs and symptoms of the condition when there is improvement in any of the following from baseline:</w:t>
      </w:r>
    </w:p>
    <w:p w14:paraId="520E3996" w14:textId="77777777" w:rsidR="00F449FB" w:rsidRPr="00F911F3" w:rsidRDefault="00F449FB" w:rsidP="002276DF">
      <w:pPr>
        <w:pStyle w:val="ListParagraph"/>
        <w:numPr>
          <w:ilvl w:val="0"/>
          <w:numId w:val="28"/>
        </w:numPr>
      </w:pPr>
      <w:r w:rsidRPr="00F911F3">
        <w:t>Abdominal pain or tenderness</w:t>
      </w:r>
    </w:p>
    <w:p w14:paraId="06C4042A" w14:textId="77777777" w:rsidR="00F449FB" w:rsidRPr="00F911F3" w:rsidRDefault="00F449FB" w:rsidP="002276DF">
      <w:pPr>
        <w:pStyle w:val="ListParagraph"/>
        <w:numPr>
          <w:ilvl w:val="0"/>
          <w:numId w:val="28"/>
        </w:numPr>
      </w:pPr>
      <w:r w:rsidRPr="00F911F3">
        <w:t xml:space="preserve">Diarrhea </w:t>
      </w:r>
    </w:p>
    <w:p w14:paraId="28E07C7A" w14:textId="77777777" w:rsidR="00F449FB" w:rsidRPr="00F911F3" w:rsidRDefault="00F449FB" w:rsidP="002276DF">
      <w:pPr>
        <w:pStyle w:val="ListParagraph"/>
        <w:numPr>
          <w:ilvl w:val="0"/>
          <w:numId w:val="28"/>
        </w:numPr>
      </w:pPr>
      <w:r w:rsidRPr="00F911F3">
        <w:t>Body weight</w:t>
      </w:r>
    </w:p>
    <w:p w14:paraId="47141728" w14:textId="77777777" w:rsidR="00F449FB" w:rsidRPr="00F911F3" w:rsidRDefault="00F449FB" w:rsidP="002276DF">
      <w:pPr>
        <w:pStyle w:val="ListParagraph"/>
        <w:numPr>
          <w:ilvl w:val="0"/>
          <w:numId w:val="28"/>
        </w:numPr>
      </w:pPr>
      <w:r w:rsidRPr="00F911F3">
        <w:t>Abdominal mass</w:t>
      </w:r>
    </w:p>
    <w:p w14:paraId="68C93444" w14:textId="77777777" w:rsidR="00F449FB" w:rsidRPr="00F911F3" w:rsidRDefault="00F449FB" w:rsidP="002276DF">
      <w:pPr>
        <w:pStyle w:val="ListParagraph"/>
        <w:numPr>
          <w:ilvl w:val="0"/>
          <w:numId w:val="28"/>
        </w:numPr>
      </w:pPr>
      <w:r w:rsidRPr="00F911F3">
        <w:t>Hematocrit</w:t>
      </w:r>
    </w:p>
    <w:p w14:paraId="09E713A3" w14:textId="77777777" w:rsidR="00F449FB" w:rsidRPr="00F911F3" w:rsidRDefault="00F449FB" w:rsidP="002276DF">
      <w:pPr>
        <w:pStyle w:val="ListParagraph"/>
        <w:numPr>
          <w:ilvl w:val="0"/>
          <w:numId w:val="28"/>
        </w:numPr>
      </w:pPr>
      <w:r w:rsidRPr="00F911F3">
        <w:t>Appearance of the mucosa on endoscopy, computed tomography enterography (CTE), magnetic resonance enterography (MRE), or intestinal ultrasound</w:t>
      </w:r>
    </w:p>
    <w:p w14:paraId="00E8FC28" w14:textId="57ACB73E" w:rsidR="00F449FB" w:rsidRPr="00F911F3" w:rsidRDefault="00F449FB" w:rsidP="00403B5B">
      <w:pPr>
        <w:pStyle w:val="ListParagraph"/>
        <w:numPr>
          <w:ilvl w:val="0"/>
          <w:numId w:val="28"/>
        </w:numPr>
        <w:spacing w:after="0"/>
      </w:pPr>
      <w:r w:rsidRPr="00F911F3">
        <w:t>Improvement on a disease activity scoring tool (e.g., Crohn’s Disease Activity Index [CDAI] score)</w:t>
      </w:r>
    </w:p>
    <w:p w14:paraId="732C90AF" w14:textId="42F369B6" w:rsidR="00F449FB" w:rsidRPr="00F911F3" w:rsidRDefault="00F449FB" w:rsidP="00F449FB">
      <w:pPr>
        <w:pStyle w:val="Heading3"/>
      </w:pPr>
      <w:r w:rsidRPr="00F911F3">
        <w:t xml:space="preserve">Relapsing </w:t>
      </w:r>
      <w:r w:rsidR="002276DF">
        <w:t>F</w:t>
      </w:r>
      <w:r w:rsidRPr="00F911F3">
        <w:t xml:space="preserve">orms of </w:t>
      </w:r>
      <w:r w:rsidR="002276DF">
        <w:t>M</w:t>
      </w:r>
      <w:r w:rsidRPr="00F911F3">
        <w:t xml:space="preserve">ultiple </w:t>
      </w:r>
      <w:r w:rsidR="002276DF">
        <w:t>S</w:t>
      </w:r>
      <w:r w:rsidRPr="00F911F3">
        <w:t xml:space="preserve">clerosis (MS) or </w:t>
      </w:r>
      <w:r w:rsidR="002276DF">
        <w:t>C</w:t>
      </w:r>
      <w:r w:rsidRPr="00F911F3">
        <w:t xml:space="preserve">linically </w:t>
      </w:r>
      <w:r w:rsidR="002276DF">
        <w:t>I</w:t>
      </w:r>
      <w:r w:rsidRPr="00F911F3">
        <w:t xml:space="preserve">solated </w:t>
      </w:r>
      <w:r w:rsidR="002276DF">
        <w:t>S</w:t>
      </w:r>
      <w:r w:rsidRPr="00F911F3">
        <w:t>yndrome (CIS)</w:t>
      </w:r>
      <w:r w:rsidRPr="00F911F3">
        <w:rPr>
          <w:vertAlign w:val="superscript"/>
        </w:rPr>
        <w:t>1,2</w:t>
      </w:r>
    </w:p>
    <w:p w14:paraId="0FB77655" w14:textId="77777777" w:rsidR="00F449FB" w:rsidRDefault="00F449FB" w:rsidP="00403B5B">
      <w:pPr>
        <w:pStyle w:val="BodyText"/>
        <w:spacing w:after="0"/>
      </w:pPr>
      <w:r w:rsidRPr="00F911F3">
        <w:t>Authorization of 12 months may be granted for all members (including new members) who achieve or maintain a positive clinical response with the requested drug as evidenced by experiencing disease stability or improvement.</w:t>
      </w:r>
    </w:p>
    <w:p w14:paraId="05B6DEFF" w14:textId="2DEAD535" w:rsidR="008B1332" w:rsidRPr="00F911F3" w:rsidRDefault="008B1332" w:rsidP="002276DF">
      <w:pPr>
        <w:pStyle w:val="Heading2"/>
        <w:keepNext w:val="0"/>
        <w:widowControl w:val="0"/>
      </w:pPr>
      <w:r w:rsidRPr="00F911F3">
        <w:t>Other</w:t>
      </w:r>
    </w:p>
    <w:p w14:paraId="56900224" w14:textId="17E2C297" w:rsidR="00AD04FE" w:rsidRPr="00F911F3" w:rsidRDefault="00F449FB" w:rsidP="002276DF">
      <w:pPr>
        <w:pStyle w:val="BodyText"/>
        <w:widowControl w:val="0"/>
      </w:pPr>
      <w:r w:rsidRPr="00F911F3">
        <w:t>For all indications: Members cannot use the requested drug concomitantly with any other disease modifying multiple sclerosis agents (Note: Ampyra and Nuedexta are not disease modifying), immunosuppressants, or TNF inhibitors (e.g., adalimumab, infliximab).</w:t>
      </w:r>
    </w:p>
    <w:p w14:paraId="3407B33B" w14:textId="714FD419" w:rsidR="00420545" w:rsidRPr="00F911F3" w:rsidRDefault="00420545" w:rsidP="00F70900">
      <w:pPr>
        <w:pStyle w:val="Heading2"/>
      </w:pPr>
      <w:r w:rsidRPr="00F911F3">
        <w:lastRenderedPageBreak/>
        <w:t>Dosage and Administration</w:t>
      </w:r>
    </w:p>
    <w:p w14:paraId="4DD37A19" w14:textId="1E88BA98" w:rsidR="00F449FB" w:rsidRDefault="00F449FB" w:rsidP="00706B11">
      <w:pPr>
        <w:pStyle w:val="BodyText"/>
      </w:pPr>
      <w:r w:rsidRPr="00F911F3">
        <w:t>Approvals may be subject to dosing limits in accordance with FDA-approved labeling, accepted compendia, and/or evidence-based practice guidelines</w:t>
      </w:r>
      <w:r w:rsidR="00E93E05" w:rsidRPr="00F911F3">
        <w:t>.</w:t>
      </w:r>
      <w:bookmarkStart w:id="0" w:name="S2.2"/>
      <w:bookmarkStart w:id="1" w:name="section-2.2"/>
      <w:bookmarkStart w:id="2" w:name="section-2.2.1"/>
      <w:bookmarkStart w:id="3" w:name="section-2.2.2"/>
      <w:bookmarkEnd w:id="0"/>
      <w:bookmarkEnd w:id="1"/>
      <w:bookmarkEnd w:id="2"/>
      <w:bookmarkEnd w:id="3"/>
    </w:p>
    <w:p w14:paraId="10DA4309" w14:textId="1ABB7A60" w:rsidR="00FF66BF" w:rsidRPr="00F911F3" w:rsidRDefault="00FF66BF" w:rsidP="00FF66BF">
      <w:pPr>
        <w:pStyle w:val="Heading2"/>
      </w:pPr>
      <w:r w:rsidRPr="00F911F3">
        <w:t>References</w:t>
      </w:r>
    </w:p>
    <w:p w14:paraId="6EE0828F" w14:textId="77777777" w:rsidR="00F449FB" w:rsidRPr="00C029C2" w:rsidRDefault="00F449FB" w:rsidP="00C029C2">
      <w:pPr>
        <w:pStyle w:val="ReferenceOrdered"/>
      </w:pPr>
      <w:r w:rsidRPr="00C029C2">
        <w:t>Tysabri [package insert]. Cambridge, MA: Biogen Inc.; October 2023.</w:t>
      </w:r>
    </w:p>
    <w:p w14:paraId="35FD8EC0" w14:textId="77777777" w:rsidR="00F449FB" w:rsidRPr="00C029C2" w:rsidRDefault="00F449FB" w:rsidP="00C029C2">
      <w:pPr>
        <w:pStyle w:val="ReferenceOrdered"/>
      </w:pPr>
      <w:r w:rsidRPr="00C029C2">
        <w:t>Tyruko [package insert]. Princeton, NJ: Sandoz Inc.; August 2023.</w:t>
      </w:r>
    </w:p>
    <w:p w14:paraId="5B5A3DAE" w14:textId="77777777" w:rsidR="00F449FB" w:rsidRPr="00C029C2" w:rsidRDefault="00F449FB" w:rsidP="00C029C2">
      <w:pPr>
        <w:pStyle w:val="ReferenceOrdered"/>
      </w:pPr>
      <w:r w:rsidRPr="00C029C2">
        <w:t xml:space="preserve">Talley NJ, Abreu MT, </w:t>
      </w:r>
      <w:proofErr w:type="spellStart"/>
      <w:r w:rsidRPr="00C029C2">
        <w:t>Achkar</w:t>
      </w:r>
      <w:proofErr w:type="spellEnd"/>
      <w:r w:rsidRPr="00C029C2">
        <w:t xml:space="preserve"> J, et al. An evidence-based systematic review on medical therapies for inflammatory bowel disease. Am J Gastroenterol. 2011;106(Suppl 1):S2-S25.</w:t>
      </w:r>
    </w:p>
    <w:p w14:paraId="2FFD2590" w14:textId="77777777" w:rsidR="00F449FB" w:rsidRPr="00C029C2" w:rsidRDefault="00F449FB" w:rsidP="00C029C2">
      <w:pPr>
        <w:pStyle w:val="ReferenceOrdered"/>
      </w:pPr>
      <w:r w:rsidRPr="00C029C2">
        <w:t>Lichtenstein GR, Loftus Jr EV, Isaacs KI, et al. ACG Clinical Guideline: Management of Crohn’s Disease in Adults. Am J Gastroenterol. 2018;113:481-517.</w:t>
      </w:r>
    </w:p>
    <w:p w14:paraId="1D96C7A0" w14:textId="7487D656" w:rsidR="00F449FB" w:rsidRPr="00C029C2" w:rsidRDefault="00F449FB" w:rsidP="00C029C2">
      <w:pPr>
        <w:pStyle w:val="ReferenceOrdered"/>
      </w:pPr>
      <w:r w:rsidRPr="00C029C2">
        <w:t xml:space="preserve">Feuerstein JD, Ho EY, </w:t>
      </w:r>
      <w:proofErr w:type="spellStart"/>
      <w:r w:rsidRPr="00C029C2">
        <w:t>Shmidt</w:t>
      </w:r>
      <w:proofErr w:type="spellEnd"/>
      <w:r w:rsidRPr="00C029C2">
        <w:t xml:space="preserve"> E, et al. AGA Clinical Practice Guidelines on the Medical Management of Moderate to Severe Luminal and Perianal Fistulizing Crohn’s Disease. Gastroenterology. 2021;160:2496- 2508.</w:t>
      </w:r>
    </w:p>
    <w:p w14:paraId="47E1A10C" w14:textId="05C6CC8F" w:rsidR="00C44990" w:rsidRPr="00F911F3" w:rsidRDefault="00C44990" w:rsidP="00B82F11">
      <w:pPr>
        <w:pStyle w:val="BodyText"/>
        <w:rPr>
          <w:sz w:val="16"/>
          <w:szCs w:val="16"/>
        </w:rPr>
      </w:pPr>
    </w:p>
    <w:sectPr w:rsidR="00C44990" w:rsidRPr="00F911F3" w:rsidSect="006E06B6">
      <w:type w:val="continuous"/>
      <w:pgSz w:w="12240" w:h="15840" w:code="1"/>
      <w:pgMar w:top="900" w:right="720" w:bottom="540" w:left="720" w:header="720" w:footer="806" w:gutter="0"/>
      <w:paperSrc w:first="15" w:other="15"/>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B2DC65" w14:textId="77777777" w:rsidR="00CE6341" w:rsidRDefault="00CE6341">
      <w:r>
        <w:separator/>
      </w:r>
    </w:p>
  </w:endnote>
  <w:endnote w:type="continuationSeparator" w:id="0">
    <w:p w14:paraId="5E01F86F" w14:textId="77777777" w:rsidR="00CE6341" w:rsidRDefault="00CE6341">
      <w:r>
        <w:continuationSeparator/>
      </w:r>
    </w:p>
  </w:endnote>
  <w:endnote w:type="continuationNotice" w:id="1">
    <w:p w14:paraId="22F9E83B" w14:textId="77777777" w:rsidR="00CE6341" w:rsidRDefault="00CE63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0C06E56D"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0A3B78" w:rsidRPr="000A3B78">
      <w:rPr>
        <w:rFonts w:cs="Arial"/>
        <w:noProof/>
        <w:sz w:val="16"/>
        <w:szCs w:val="16"/>
      </w:rPr>
      <w:t>Tysabri-Tyruko</w:t>
    </w:r>
    <w:r w:rsidR="000A3B78">
      <w:rPr>
        <w:rFonts w:cs="Arial"/>
        <w:noProof/>
        <w:snapToGrid w:val="0"/>
        <w:color w:val="000000"/>
        <w:sz w:val="16"/>
        <w:szCs w:val="16"/>
      </w:rPr>
      <w:t xml:space="preserve"> SGM 1846-A</w:t>
    </w:r>
    <w:r w:rsidR="000A3B78" w:rsidRPr="000A3B78">
      <w:rPr>
        <w:rFonts w:cs="Arial"/>
        <w:noProof/>
        <w:sz w:val="16"/>
        <w:szCs w:val="16"/>
      </w:rPr>
      <w:t xml:space="preserve"> P2024a</w:t>
    </w:r>
    <w:r w:rsidR="000A3B78">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6265BEE7"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4752756D" w:rsidR="00F75C81" w:rsidRPr="006E06B6" w:rsidRDefault="00C36B72" w:rsidP="006E06B6">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2FE458FD"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0A3B78" w:rsidRPr="000A3B78">
      <w:rPr>
        <w:rFonts w:cs="Arial"/>
        <w:noProof/>
        <w:sz w:val="16"/>
        <w:szCs w:val="16"/>
      </w:rPr>
      <w:t>Tysabri-Tyruko</w:t>
    </w:r>
    <w:r w:rsidR="000A3B78">
      <w:rPr>
        <w:rFonts w:cs="Arial"/>
        <w:noProof/>
        <w:snapToGrid w:val="0"/>
        <w:color w:val="000000"/>
        <w:sz w:val="16"/>
        <w:szCs w:val="16"/>
      </w:rPr>
      <w:t xml:space="preserve"> SGM 1846-A</w:t>
    </w:r>
    <w:r w:rsidR="000A3B78" w:rsidRPr="000A3B78">
      <w:rPr>
        <w:rFonts w:cs="Arial"/>
        <w:noProof/>
        <w:sz w:val="16"/>
        <w:szCs w:val="16"/>
      </w:rPr>
      <w:t xml:space="preserve"> P2024a</w:t>
    </w:r>
    <w:r w:rsidR="000A3B78">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D74279" w:rsidRPr="00EC47B6">
      <w:rPr>
        <w:rFonts w:cs="Arial"/>
        <w:snapToGrid w:val="0"/>
        <w:color w:val="000000"/>
        <w:sz w:val="16"/>
      </w:rPr>
      <w:t>4</w:t>
    </w:r>
    <w:r w:rsidRPr="00EC47B6">
      <w:rPr>
        <w:rFonts w:cs="Arial"/>
        <w:snapToGrid w:val="0"/>
        <w:color w:val="000000"/>
        <w:sz w:val="16"/>
      </w:rPr>
      <w:t xml:space="preserve"> CVS Caremark. All rights reserved.</w:t>
    </w:r>
  </w:p>
  <w:p w14:paraId="39BFE579" w14:textId="6584EAC4"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6E6DA1B5" w:rsidR="00ED04EC" w:rsidRPr="00F50D98" w:rsidRDefault="00F50D98" w:rsidP="00B82F11">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7B2E72" w14:textId="77777777" w:rsidR="00CE6341" w:rsidRDefault="00CE6341">
      <w:r>
        <w:separator/>
      </w:r>
    </w:p>
  </w:footnote>
  <w:footnote w:type="continuationSeparator" w:id="0">
    <w:p w14:paraId="32EF2B69" w14:textId="77777777" w:rsidR="00CE6341" w:rsidRDefault="00CE6341">
      <w:r>
        <w:continuationSeparator/>
      </w:r>
    </w:p>
  </w:footnote>
  <w:footnote w:type="continuationNotice" w:id="1">
    <w:p w14:paraId="56E4689B" w14:textId="77777777" w:rsidR="00CE6341" w:rsidRDefault="00CE634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F911F3" w:rsidRDefault="00ED04EC" w:rsidP="00ED04EC">
          <w:pPr>
            <w:pStyle w:val="Header"/>
            <w:rPr>
              <w:rFonts w:cs="Arial"/>
              <w:sz w:val="16"/>
              <w:szCs w:val="16"/>
            </w:rPr>
          </w:pPr>
          <w:r w:rsidRPr="00F911F3">
            <w:rPr>
              <w:rFonts w:cs="Arial"/>
              <w:sz w:val="16"/>
              <w:szCs w:val="16"/>
            </w:rPr>
            <w:t>Reference number(s)</w:t>
          </w:r>
        </w:p>
      </w:tc>
    </w:tr>
    <w:tr w:rsidR="00ED04EC" w:rsidRPr="00ED04EC" w14:paraId="703C6588" w14:textId="77777777">
      <w:trPr>
        <w:trHeight w:val="378"/>
        <w:jc w:val="right"/>
      </w:trPr>
      <w:tc>
        <w:tcPr>
          <w:tcW w:w="1854" w:type="dxa"/>
          <w:hideMark/>
        </w:tcPr>
        <w:p w14:paraId="51CE3E64" w14:textId="4C2EB6AE" w:rsidR="00ED04EC" w:rsidRPr="00F911F3" w:rsidRDefault="00F449FB" w:rsidP="00ED04EC">
          <w:pPr>
            <w:pStyle w:val="Header"/>
            <w:rPr>
              <w:rFonts w:cs="Arial"/>
              <w:sz w:val="16"/>
              <w:szCs w:val="16"/>
            </w:rPr>
          </w:pPr>
          <w:r w:rsidRPr="00F911F3">
            <w:rPr>
              <w:rFonts w:cs="Arial"/>
              <w:sz w:val="16"/>
              <w:szCs w:val="16"/>
            </w:rPr>
            <w:t>1846-A</w:t>
          </w:r>
        </w:p>
      </w:tc>
    </w:tr>
  </w:tbl>
  <w:p w14:paraId="0D5ACCC2" w14:textId="462A1075" w:rsidR="00ED04EC" w:rsidRPr="00AA1E6A" w:rsidRDefault="00ED04EC" w:rsidP="00B02279">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4"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43C1219"/>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1"/>
  </w:num>
  <w:num w:numId="2" w16cid:durableId="606935877">
    <w:abstractNumId w:val="24"/>
  </w:num>
  <w:num w:numId="3" w16cid:durableId="611589570">
    <w:abstractNumId w:val="19"/>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2"/>
  </w:num>
  <w:num w:numId="15" w16cid:durableId="616722934">
    <w:abstractNumId w:val="10"/>
  </w:num>
  <w:num w:numId="16" w16cid:durableId="898320195">
    <w:abstractNumId w:val="16"/>
  </w:num>
  <w:num w:numId="17" w16cid:durableId="2128498676">
    <w:abstractNumId w:val="26"/>
  </w:num>
  <w:num w:numId="18" w16cid:durableId="299724409">
    <w:abstractNumId w:val="20"/>
  </w:num>
  <w:num w:numId="19" w16cid:durableId="214585573">
    <w:abstractNumId w:val="13"/>
  </w:num>
  <w:num w:numId="20" w16cid:durableId="1289816170">
    <w:abstractNumId w:val="14"/>
  </w:num>
  <w:num w:numId="21" w16cid:durableId="1066490929">
    <w:abstractNumId w:val="27"/>
  </w:num>
  <w:num w:numId="22" w16cid:durableId="1472481103">
    <w:abstractNumId w:val="22"/>
  </w:num>
  <w:num w:numId="23" w16cid:durableId="1997420403">
    <w:abstractNumId w:val="25"/>
  </w:num>
  <w:num w:numId="24" w16cid:durableId="33312838">
    <w:abstractNumId w:val="21"/>
  </w:num>
  <w:num w:numId="25" w16cid:durableId="507404939">
    <w:abstractNumId w:val="15"/>
  </w:num>
  <w:num w:numId="26" w16cid:durableId="1950313333">
    <w:abstractNumId w:val="18"/>
  </w:num>
  <w:num w:numId="27" w16cid:durableId="1866016584">
    <w:abstractNumId w:val="17"/>
  </w:num>
  <w:num w:numId="28" w16cid:durableId="1977100670">
    <w:abstractNumId w:val="2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424"/>
    <w:rsid w:val="00032659"/>
    <w:rsid w:val="00032924"/>
    <w:rsid w:val="0003572F"/>
    <w:rsid w:val="00036079"/>
    <w:rsid w:val="00037636"/>
    <w:rsid w:val="00037A95"/>
    <w:rsid w:val="00041200"/>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3E8"/>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B18"/>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3B78"/>
    <w:rsid w:val="000A42D7"/>
    <w:rsid w:val="000A5AE5"/>
    <w:rsid w:val="000A6C30"/>
    <w:rsid w:val="000A71EC"/>
    <w:rsid w:val="000A72BA"/>
    <w:rsid w:val="000A7D51"/>
    <w:rsid w:val="000B0F9D"/>
    <w:rsid w:val="000B104D"/>
    <w:rsid w:val="000B1961"/>
    <w:rsid w:val="000B20CD"/>
    <w:rsid w:val="000B3168"/>
    <w:rsid w:val="000B34E7"/>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2A55"/>
    <w:rsid w:val="000C3B5A"/>
    <w:rsid w:val="000C436C"/>
    <w:rsid w:val="000C5A6F"/>
    <w:rsid w:val="000C625F"/>
    <w:rsid w:val="000C6C34"/>
    <w:rsid w:val="000C6FAA"/>
    <w:rsid w:val="000C7000"/>
    <w:rsid w:val="000C78EA"/>
    <w:rsid w:val="000C7B51"/>
    <w:rsid w:val="000C7EA2"/>
    <w:rsid w:val="000D0438"/>
    <w:rsid w:val="000D04AF"/>
    <w:rsid w:val="000D1463"/>
    <w:rsid w:val="000D19C4"/>
    <w:rsid w:val="000D1CEC"/>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CA7"/>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494A"/>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470E8"/>
    <w:rsid w:val="00150AFC"/>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9F7"/>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6D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47014"/>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5A"/>
    <w:rsid w:val="00277398"/>
    <w:rsid w:val="002773DB"/>
    <w:rsid w:val="00277791"/>
    <w:rsid w:val="002777DF"/>
    <w:rsid w:val="002807CC"/>
    <w:rsid w:val="00280C69"/>
    <w:rsid w:val="00280EC5"/>
    <w:rsid w:val="00281A75"/>
    <w:rsid w:val="00281F6C"/>
    <w:rsid w:val="0028234F"/>
    <w:rsid w:val="0028452B"/>
    <w:rsid w:val="00284D74"/>
    <w:rsid w:val="00285DDF"/>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9BA"/>
    <w:rsid w:val="00327C29"/>
    <w:rsid w:val="00330E29"/>
    <w:rsid w:val="003319A7"/>
    <w:rsid w:val="00332104"/>
    <w:rsid w:val="00332261"/>
    <w:rsid w:val="0033231E"/>
    <w:rsid w:val="0033351E"/>
    <w:rsid w:val="00333878"/>
    <w:rsid w:val="00333FEE"/>
    <w:rsid w:val="00334113"/>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56C31"/>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1D81"/>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78E"/>
    <w:rsid w:val="003D6970"/>
    <w:rsid w:val="003D6BFA"/>
    <w:rsid w:val="003D6C2D"/>
    <w:rsid w:val="003D72A8"/>
    <w:rsid w:val="003E1C0F"/>
    <w:rsid w:val="003E260D"/>
    <w:rsid w:val="003E28D8"/>
    <w:rsid w:val="003E3201"/>
    <w:rsid w:val="003E33A0"/>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3B5B"/>
    <w:rsid w:val="0040594C"/>
    <w:rsid w:val="00405C5D"/>
    <w:rsid w:val="00407C38"/>
    <w:rsid w:val="0041023B"/>
    <w:rsid w:val="0041061B"/>
    <w:rsid w:val="00411195"/>
    <w:rsid w:val="00411413"/>
    <w:rsid w:val="00411798"/>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1F14"/>
    <w:rsid w:val="0042209A"/>
    <w:rsid w:val="0042222E"/>
    <w:rsid w:val="00422416"/>
    <w:rsid w:val="004226CD"/>
    <w:rsid w:val="00422766"/>
    <w:rsid w:val="004236F4"/>
    <w:rsid w:val="00423C96"/>
    <w:rsid w:val="00425453"/>
    <w:rsid w:val="004260D4"/>
    <w:rsid w:val="004260DE"/>
    <w:rsid w:val="0042761F"/>
    <w:rsid w:val="00427B15"/>
    <w:rsid w:val="00430B2F"/>
    <w:rsid w:val="00430D67"/>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53C"/>
    <w:rsid w:val="0044763A"/>
    <w:rsid w:val="00447E12"/>
    <w:rsid w:val="004507D8"/>
    <w:rsid w:val="00451392"/>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49F"/>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6E4"/>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0BC"/>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3D"/>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3BE"/>
    <w:rsid w:val="005B289F"/>
    <w:rsid w:val="005B28D1"/>
    <w:rsid w:val="005B29C6"/>
    <w:rsid w:val="005B425D"/>
    <w:rsid w:val="005B496D"/>
    <w:rsid w:val="005B4D7C"/>
    <w:rsid w:val="005B52C4"/>
    <w:rsid w:val="005C026B"/>
    <w:rsid w:val="005C0790"/>
    <w:rsid w:val="005C194C"/>
    <w:rsid w:val="005C2667"/>
    <w:rsid w:val="005C295A"/>
    <w:rsid w:val="005C2C21"/>
    <w:rsid w:val="005C3B4F"/>
    <w:rsid w:val="005C44D1"/>
    <w:rsid w:val="005C52A6"/>
    <w:rsid w:val="005C6812"/>
    <w:rsid w:val="005C6D2C"/>
    <w:rsid w:val="005C70B5"/>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1AA3"/>
    <w:rsid w:val="00613278"/>
    <w:rsid w:val="006138E0"/>
    <w:rsid w:val="00613BFA"/>
    <w:rsid w:val="00614799"/>
    <w:rsid w:val="0061564E"/>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434"/>
    <w:rsid w:val="0063460D"/>
    <w:rsid w:val="0063471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14CA"/>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0C3B"/>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AEC"/>
    <w:rsid w:val="006D6E11"/>
    <w:rsid w:val="006D6FA0"/>
    <w:rsid w:val="006E06B6"/>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5890"/>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46B"/>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155E"/>
    <w:rsid w:val="007F20FF"/>
    <w:rsid w:val="007F2388"/>
    <w:rsid w:val="007F2641"/>
    <w:rsid w:val="007F280C"/>
    <w:rsid w:val="007F2FAC"/>
    <w:rsid w:val="007F3465"/>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18B8"/>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10B"/>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E80"/>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1CE9"/>
    <w:rsid w:val="009B35DC"/>
    <w:rsid w:val="009B3740"/>
    <w:rsid w:val="009B579E"/>
    <w:rsid w:val="009B5866"/>
    <w:rsid w:val="009B5A24"/>
    <w:rsid w:val="009B6153"/>
    <w:rsid w:val="009B7708"/>
    <w:rsid w:val="009C079D"/>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75E"/>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6451"/>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47C"/>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1AB"/>
    <w:rsid w:val="00A82509"/>
    <w:rsid w:val="00A82DDB"/>
    <w:rsid w:val="00A83FA7"/>
    <w:rsid w:val="00A84AD9"/>
    <w:rsid w:val="00A84CB5"/>
    <w:rsid w:val="00A85D18"/>
    <w:rsid w:val="00A8608E"/>
    <w:rsid w:val="00A86211"/>
    <w:rsid w:val="00A87B90"/>
    <w:rsid w:val="00A87BF7"/>
    <w:rsid w:val="00A9069E"/>
    <w:rsid w:val="00A9152C"/>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081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213"/>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11"/>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9C2"/>
    <w:rsid w:val="00C02F81"/>
    <w:rsid w:val="00C04410"/>
    <w:rsid w:val="00C04991"/>
    <w:rsid w:val="00C04C79"/>
    <w:rsid w:val="00C05AC4"/>
    <w:rsid w:val="00C06539"/>
    <w:rsid w:val="00C100F8"/>
    <w:rsid w:val="00C103C4"/>
    <w:rsid w:val="00C11959"/>
    <w:rsid w:val="00C11CD0"/>
    <w:rsid w:val="00C1258B"/>
    <w:rsid w:val="00C12A64"/>
    <w:rsid w:val="00C1305C"/>
    <w:rsid w:val="00C132E2"/>
    <w:rsid w:val="00C13981"/>
    <w:rsid w:val="00C13B83"/>
    <w:rsid w:val="00C13C5D"/>
    <w:rsid w:val="00C13C9B"/>
    <w:rsid w:val="00C13D90"/>
    <w:rsid w:val="00C1408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56CCF"/>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3FE"/>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341"/>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3880"/>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135"/>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2F0D"/>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0D01"/>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49FB"/>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2E88"/>
    <w:rsid w:val="00F83AB3"/>
    <w:rsid w:val="00F859EC"/>
    <w:rsid w:val="00F85A23"/>
    <w:rsid w:val="00F85AEE"/>
    <w:rsid w:val="00F863D0"/>
    <w:rsid w:val="00F864AB"/>
    <w:rsid w:val="00F86554"/>
    <w:rsid w:val="00F87688"/>
    <w:rsid w:val="00F877F0"/>
    <w:rsid w:val="00F87ECD"/>
    <w:rsid w:val="00F9028E"/>
    <w:rsid w:val="00F911F3"/>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425"/>
    <w:rsid w:val="00FA6754"/>
    <w:rsid w:val="00FA6A60"/>
    <w:rsid w:val="00FA6C44"/>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0FB"/>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2AC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6FF7"/>
    <w:rsid w:val="00FE75AC"/>
    <w:rsid w:val="00FE78A7"/>
    <w:rsid w:val="00FE7C80"/>
    <w:rsid w:val="00FF2F94"/>
    <w:rsid w:val="00FF35C5"/>
    <w:rsid w:val="00FF37B2"/>
    <w:rsid w:val="00FF530E"/>
    <w:rsid w:val="00FF5C3C"/>
    <w:rsid w:val="00FF66BF"/>
    <w:rsid w:val="00FF7695"/>
    <w:rsid w:val="29729D5D"/>
    <w:rsid w:val="456B1CF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6C748D2-F6B6-4F6B-984B-81738D839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3279BA"/>
    <w:pPr>
      <w:jc w:val="center"/>
    </w:pPr>
    <w:rPr>
      <w:b/>
      <w:bCs/>
    </w:rPr>
  </w:style>
  <w:style w:type="character" w:customStyle="1" w:styleId="TypeChar">
    <w:name w:val="Type Char"/>
    <w:basedOn w:val="DefaultParagraphFont"/>
    <w:link w:val="Type"/>
    <w:rsid w:val="003279BA"/>
    <w:rPr>
      <w:rFonts w:ascii="CVS Health Sans" w:hAnsi="CVS Health Sans"/>
      <w:b/>
      <w:bCs/>
      <w:sz w:val="22"/>
    </w:rPr>
  </w:style>
  <w:style w:type="character" w:customStyle="1" w:styleId="ui-provider">
    <w:name w:val="ui-provider"/>
    <w:basedOn w:val="DefaultParagraphFont"/>
    <w:rsid w:val="00E831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d8141934-0c15-45a3-8ee8-53e64ae38189"/>
    <ds:schemaRef ds:uri="043d2832-9d9b-42b0-abd6-be76ec978c95"/>
  </ds:schemaRefs>
</ds:datastoreItem>
</file>

<file path=customXml/itemProps2.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3.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4.xml><?xml version="1.0" encoding="utf-8"?>
<ds:datastoreItem xmlns:ds="http://schemas.openxmlformats.org/officeDocument/2006/customXml" ds:itemID="{6338F22B-6AA0-4F0F-ACE1-BDA6E62706A8}"/>
</file>

<file path=docProps/app.xml><?xml version="1.0" encoding="utf-8"?>
<Properties xmlns="http://schemas.openxmlformats.org/officeDocument/2006/extended-properties" xmlns:vt="http://schemas.openxmlformats.org/officeDocument/2006/docPropsVTypes">
  <Template>Normal.dotm</Template>
  <TotalTime>1</TotalTime>
  <Pages>4</Pages>
  <Words>760</Words>
  <Characters>4758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UM PrimaryTemplate</vt:lpstr>
    </vt:vector>
  </TitlesOfParts>
  <Company>PCS Health Systems</Company>
  <LinksUpToDate>false</LinksUpToDate>
  <CharactersWithSpaces>5507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Tysabri-Tyruko 1846-A SGM 2024</dc:title>
  <dc:subject/>
  <dc:creator>CVS Caremark</dc:creator>
  <cp:keywords/>
  <cp:lastModifiedBy>Romuar, Anisha P</cp:lastModifiedBy>
  <cp:revision>3</cp:revision>
  <cp:lastPrinted>2018-01-09T11:01:00Z</cp:lastPrinted>
  <dcterms:created xsi:type="dcterms:W3CDTF">2025-01-08T04:25:00Z</dcterms:created>
  <dcterms:modified xsi:type="dcterms:W3CDTF">2025-01-08T04:26:00Z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1600000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